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99 vom 25. März 2026</w:t>
      </w:r>
    </w:p>
    <w:p>
      <w:r>
        <w:t>FR Kantonsgericht, 2026-03-25, FR</w:t>
      </w:r>
    </w:p>
    <w:p>
      <w:r>
        <w:rPr>
          <w:b/>
        </w:rPr>
        <w:t xml:space="preserve">Quelle: </w:t>
      </w:r>
      <w:r>
        <w:t>https://mcp.opencaselaw.ch/entscheid/fr_gerichte_605 2025 99</w:t>
      </w:r>
    </w:p>
    <w:p>
      <w:r>
        <w:t>FR: FR_GERICHTE 605 2025 99 du 25 mars 2026</w:t>
      </w:r>
    </w:p>
    <w:p>
      <w:r>
        <w:t>IT: FR_GERICHTE 605 2025 99 del 25 marzo 2026</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w:t>
      </w:r>
    </w:p>
    <w:p>
      <w:r>
        <w:rPr>
          <w:b/>
        </w:rPr>
        <w:t>E. 2</w:t>
      </w:r>
    </w:p>
    <w:p>
      <w:r>
        <w:t>Dans le cadre du développement continu de l'AI, la loi du 19 juin 1959 sur l'assurance-invalidité (LAI; RS 831.20), le règlement du 17 janvier 1961 sur l’assurance-invalidité (RAI; RS 831.201) et la loi du</w:t>
      </w:r>
    </w:p>
    <w:p>
      <w:r>
        <w:rPr>
          <w:b/>
        </w:rPr>
        <w:t>E. 6</w:t>
      </w:r>
    </w:p>
    <w:p>
      <w:r>
        <w:t>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130 V 445 consid. 1.2.1 et les références citées). S’agissant plus spécifiquement du nouveau système des rentes linéaires, entré en vigueur au 1er janvier 2022, les dispositions transitoires de la modification du 19 juin 2020 (let. c) énoncent que, pour les bénéficiaires de rente dont le droit à la rente est né avant l’entrée en vigueur de la présente modification et qui avaient au moins 55 ans à l’entrée en vigueur de cette modification, l’ancien droit reste applicable. Dans sa circulaire relative aux dispositions transitoires concernant le système de rentes linéaire (Circ. DT DC AI, chiffres 2002 et 2003), l’OFAS précise que les rentes d’invalidité des bénéficiaires appartenant au groupe "Droits acquis" (assuré.e.s né.e.s entre 1957 et 1966 qui avaient donc entre 55 et 64/65 ans au 1er janvier 2022, date de l'entrée en vigueur de la modification) restent dans l’ancien droit et conservent les paliers de quarts de rente obtenus jusqu’à l’extinction de la rente d’invalidité ou jusqu’au moment où une rente de vieillesse lui succède. En cas de modification du taux d’invalidité d’un bénéficiaire de rente d’invalidité appartenant au groupe "Droits acquis", la rente d’invalidité reste encore fixée selon les fractions prévues par l’ancien droit (rente entière, trois quarts de rente, demi-rente et quart de rente). Ces rentes restent entièrement soumises à l’ancien système en vigueur jusqu’au 31 décembre 2021 (voir aussi ch. 2006). En l'espèce, la recourante, qui est née en 1962, fait partie du groupe "Droits acquis" et ce sont donc les dispositions légales en vigueur jusqu'au 31 décembre 2021 qui restent applicables.</w:t>
      </w:r>
    </w:p>
    <w:p>
      <w:r>
        <w:t>Tribunal cantonal TC Page 4 de 11 3. 3.1.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3.2.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3.3. La méthode dite mixte d'évaluation du taux d'invalidité (art. 28a al. 3 LAI et 27bis RAI)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(ATF 137 V 334 consid. 3.1.3). L'invalidité totale s'obtient en additionnant les degrés d'invalidité correspondant aux parts respectives attribuées aux activités lucrative et non lucrative (VSI 1999 p. 231 consid. 2b et les références). 3.4.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(ATF 133 V 504 consid. 4.2 et les références citées; arrêt TF 9C_191/2021 du 25 novembre 2021 consid. 6.2.2).</w:t>
      </w:r>
    </w:p>
    <w:p>
      <w:r>
        <w:t>Tribunal cantonal TC Page 5 de 11 Selon la jurisprudence, une telle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les références citées; arrêt TF 9C_625/2017 du 26 mars 2018 consid. 6.2). 3.5. Dans l'assurance-invalidité, ainsi que dans les autres assurances sociales, on applique de manière générale le principe selon lequel un assuré doit, avant de requérir des prestations, entreprendre de son propre chef tout ce qu'on peut raisonnablement attendre d'une personne raisonnable dans la même situation, pour atténuer le mieux possible les conséquences de son invalidité.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cellule familiale raisonnable si elle ne pouvait pas s'attendre à recevoir des prestations d'assurance. La jurisprudence ne pose pas de grandeur limite au-delà de laquelle l'aide des membres de la famille ne serait plus possible. L'aide exigible de tiers ne doit cependant pas devenir excessive ou disproportionnée (arrêt TF 9C_248/2022 du 25 avril 2023 consid. 5.3.1 et les références citées). Le Tribunal fédéral considère que la jurisprudence ne répercute pas sur un membre de la famille de l'assuré l'accomplissement de certaines activités ménagères, avec la conséquence qu'il faudrait se demander pour chaque empêchement si cette personne entre effectivement en ligne de compte pour l'exécuter en remplacement.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CC) ou ses enfants (art. 272 CC) - sont censés remplir les devoirs qui leur incombent en vertu du droit de la famille (arrêt TF 9C_248/2022 précité consid. 5.3.2 et les références citées). A cet égard, le Tribunal fédéral a confirmé sa jurisprudence de manière constante (ATF 141 V 642 consid. 4.3.2;</w:t>
      </w:r>
    </w:p>
    <w:p>
      <w:r>
        <w:t>Tribunal cantonal TC Page 6 de 11 140 V 267 consid. 5.2.1; 133 V 504 consid. 4.2). Il a donc examiné si une modification de la jurisprudence s'imposait pour conclure, à l'issue de son analyse, que tel n'était pas le cas (ATF 133 V 504 consid. 4.2 et les références citées; arrêt TF 9C_248/2022 précité consid. 5.3.3). Reprenant ces principes, le chiffre 3614 CIRAI donne les indications suivantes: l’assuré doit recourir à l’aide des membres de sa famille, mais la possibilité concrète d’obtenir cette aide n’est pas déterminante. Cette aide est plus étendue que celle qu’on pourrait attendre si l’assuré n’était pas atteint dans sa santé. Les déductions forfaitaires fixes ne sont pas autorisées. Le rapport d’enquête doit indiquer les activités ou les domaines particuliers pour lesquels l’obligation de réduire le dommage a été prise en compte. Différents exemples tirés de la jurisprudence sont également mentionnés: on peut attendre davantage d’aide d’un partenaire à la retraite que d’un partenaire exerçant une activité lucrative (arrêts TF 9C_525/2023 du 26 octobre 2023 et 8C_828/2011 du 27 juillet 2012); une famille avec deux petits enfants n’est pas comparable à une famille avec deux adolescents; une répartition des rôles au sein de la famille motivée par des traditions culturelles ne doit pas entrer en ligne compte lors de l’évaluation de l’aide qui doit être attendue (arrêt TF 8C_879/2012 du 17 janvier 2013); dans une situation de vie où aucun des partenaires n'exerce d'activité lucrative, on peut partir du principe que les tâches à accomplir pour la communauté sont réparties à parts égales (arrêt TF 9C_525/2023 du 26 octobre 2023). 4.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130 V 343 consid. 3.5). Une simple appréciation différente d'un état de fait, qui, pour l'essentiel, est demeuré inchangé n'appelle en revanche pas à une révision au sens de l'art. 17 LPGA (ATF 112 V 371 consid. 2b; 387 consid. 1b).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5. En l'espèce, la recourante conteste uniquement la réduction opérée sur l'empêchement dans l'activité ménagère en raison de l'aide exigible de son conjoint en tant qu'obligation de réduire le dommage (ci-après: ORD). 5.1. Selon le rapport d'enquête économique sur le ménage du 7 mars 2025 (dossier OAI, p. 735), les empêchements de la recourante, sans aide exigible de la famille, sont les suivants: alimentation 31,98% (pondération 41%, empêchement 78%), entretien de l'appartement 16,80% (pondération 24%, empêchement 70%), achats et courses diverses 10% (pondération 10%, empêchement</w:t>
      </w:r>
    </w:p>
    <w:p>
      <w:r>
        <w:t>Tribunal cantonal TC Page 7 de 11 100%), lessives et entretiens vêtements 13,50% (pondération 15 %, empêchement 90%), soins du jardin 10% (pondération 10%, empêchement 100%), ce qui donne un empêchement total de 82,28%. A cet égard, on peut souligner que, dans le tableau détaillé des activités figurant au point 6 du rapport, l'empêchement retenu pour le poste "alimentation" est de 77,5% alors qu'il est arrondi à 78% dans la proposition figurant au point 8 du rapport, raison pour laquelle le chiffre de 82,1% pour l'empêchement total est évoqué par la recourante. En tenant compte de l'aide exigible du mari qui est à la retraite, les empêchements dans les postes alimentation et entretien de l'appartement passent de 78%, respectivement 70%, à 0%, celui pour le poste achats et courses diverses passe de 100% à 5%, celui pour le poste lessive et entretien vêtements passe de 90% à 42% et celui pour les soins du jardin passe de 100% à 17%. Avec la pondération pour chaque activité, l'empêchement final en tenant compte de l'ORD est de 8,5%. Dans sa prise de position du 23 avril 2025 (dossier OAI, p. 800), l'enquêtrice estime que "l'assurée dispose de suffisamment de ressources cognitives lui permettant de donner des directives et conseiller son mari pour l’exécution des tâches ménagères. L’empêchement ne peut donc être complet à ce niveau sur chaque poste. De plus, l’assurée participe encore partiellement à certaines tâches comme indiqué dans le rapport d’enquête ménager (la préparation des repas, nettoyage superficielle de la cuisine, travaux légers, nettoyage superficiel de la salle-de-bain…)". Elle relève en outre que l'assurée présente effectivement des limitations en lien avec son atteinte à la santé, mais qu'elle a aussi trouvé des stratégies compensatoires pour pouvoir effectuer une partie des tâches de manière autonome. De plus, elle précise que, dans le cas où le conjoint est à la retraite, il est raisonnable d'exiger une aide nettement plus substantielle et qu'on pourrait aisément tenir compte de 2h30 par jour. Elle cite enfin une jurisprudence dans laquelle le Tribunal fédéral avait confirmé l'ORD retenue par l'enquêteur oscillant entre 60 et 100% (cf. arrêt TF 8C_828/2011 du 27 juillet 2012). De son côté, la recourante ne remet pas en cause le principe de l'ORD, mais estime que, dans son cas, le taux de réduction qui a été appliqué est excessif. 5.2. La Cour de céans constate tout d'abord que le rapport d'enquête économique sur le ménage du 7 mars 2025 a été élaboré par une personne qualifiée qui a eu connaissance de la situation locale et spatiale ainsi que des empêchements et des handicaps résultant des diagnostics médicaux. L'enquêtrice a également tenu compte des indications données par la recourante et son conjoint et le texte du rapport est rédigé de façon suffisamment détaillée par rapport aux différentes limitations. L'empêchement retenu de façon générale, sans tenir compte de l'ORD, fixé à 82,28% paraît cohérent, compte tenu de l'atteinte présentée par la recourante et ses nombreuses limitations, étant précisé également qu'une incapacité de travail totale a été retenue pour l'activité lucrative. En tenant compte de l'aide exigible de son conjoint, cet empêchement est réduit à 8,5%. Dans la description des différentes activités, on constate qu'avant l'atteinte à la santé, c'est la recourante qui se chargeait seule de toutes les activités ménagères, mis à part les courses qu'elle faisait en commun avec son mari et les gros travaux de jardin (gazon, taille des arbres, débroussaillage des mauvaises herbes) que son mari effectuait déjà. Actuellement, c'est son mari qui se charge de quasiment tout. Dans sa prise de position du 23 avril 2025, l'enquêtrice estime que "l’assurée dispose de suffisamment de ressources cognitives lui permettant de donner des directives et conseiller son mari pour l’exécution des tâches ménagères. L’empêchement ne peut donc être complet à ce niveau sur chaque poste". Or, à l'inverse, dans le rapport, elle relève à plusieurs reprises que "les troubles cognitifs que présente l'assurée rendent la planification des actions</w:t>
      </w:r>
    </w:p>
    <w:p>
      <w:r>
        <w:t>Tribunal cantonal TC Page 8 de 11 problématique", que "l'assurée a des difficultés à organiser et aménager le matériel et son espace de lieu de vie de façon logique, sécure et pratique à l’entretien. Elle a la plupart du temps besoin de directives de son mari en lien avec ses troubles cognitifs. C'est lui qui programme toutes les activités liées à l'entretien du logement. L'assurée peut alors participer partiellement en effectuant des tâches compatibles à ses ressources du jour", que "toute la programmation et l'organisation quotidienne sont réalisées par son mari. L'assurée a besoin d'être stimulée et accompagnée pour la mise en activité pour ce poste en lien avec ses troubles cognitifs", que "l’assurée n'est plus en mesure de trier les déchets en lien avec ses troubles cognitifs (atteinte du raisonnement logique)", que "l’assurée n'a plus les ressources nécessaires pour assumer les tâches administratives courantes, gérer les rendez-vous et les tâches administratives complexes en lien avec ses troubles cognitifs". Il ressort ainsi du rapport que la recourante est fortement limitée, même sur le plan cognitif. Dans le cadre d'une procédure de révision, il faut comparer les faits tels qu'ils se présentaient lorsque la décision initiale de rente a été rendue avec les circonstances régnant à l'époque du prononcé de la décision litigieuse. A cet égard, l'enquêtrice relève que "l’état de l’assurée s’est détérioré sur la dernière année, suite à de multiples fractures sur chutes, ainsi qu’un syndrome de la queue de cheval qui lui a provoqué une incontinence totale. La mobilité de l’assurée s’est grandement dégradée et ses fonctions cognitives ont également été altérées". Cette aggravation de la situation ressort également de la comparaison des rapports d'enquête économique sur le ménage du 2 juillet 2020 et du 7 mars 2025. Lors de la première enquête, la recourante pouvait encore réaliser quasiment toutes les activités ménagères. Un empêchement de 10,32% était retenu sans tenir compte de l'ORD et de 0% avec cette ORD. Dans le cadre de la seconde enquête, l'empêchement sans ORD s'est largement dégradé, puisqu'il est de 82,28%, alors que l'empêchement retenu avec ORD n’est monté que légèrement à 8,5%. Certes, entre ces deux enquêtes, le mari de la recourante est arrivé à la retraite et a donc beaucoup plus de temps à consacrer aux activités ménagères. Or, il faut aussi tenir compte du fait que ce dernier doit également aider son épouse pour tous les actes ordinaires de la vie comme cela ressort du rapport d'enquête domiciliaire du 7 mars 2025 concernant l'impotence (dossier OAI, p. 763). De plus, le Tribunal fédéral indique clairement que l'aide exigible de tiers ne doit pas devenir excessive ou disproportionnée. Il ressort ainsi du dossier que l'état de santé de la recourante s'est effectivement fortement aggravé depuis la dernière décision du 6 juin 2023, respectivement depuis la dernière enquête économique sur le ménage du 2 juillet 2020, et que la très faible augmentation de son taux d'invalidité (de 50% à 54,2%) à laquelle est parvenue l'autorité intimée ne semble pas en adéquation avec la situation concrète, si ce n'est en reportant la totalité des tâches ménagères exécutées auparavant par la recourante sur son conjoint. Or, comme mentionné précédemment, le Tribunal fédéral considère que l'ORD ne revient pas à répercuter sur un membre de la famille de l'assuré l'accomplissement de certaines activités ménagères, avec la conséquence qu'il faudrait se demander pour chaque empêchement si cette personne entre effectivement en ligne de compte pour l'exécuter en remplacement. Au contraire, la possibilité pour la personne assurée d'obtenir concrètement de l'aide de la part d'un tiers n'est pas décisive dans le cadre de l'évaluation de son ORD. Ce qui est déterminant, c'est le point de savoir comment se comporterait une cellule familiale raisonnable, soumise à la même réalité sociale, si elle ne pouvait pas s'attendre à recevoir des prestations d'assurance. Dans le cas d'espèce, l'enquêtrice relève en particulier que la recourante peut compter sur le soutien inconditionnel de son mari qui est présent également pour l’aider et la suppléer dans toutes les activités de la vie quotidienne. Toutefois, en reprenant a contrario la jurisprudence susmentionnée, ce n'est pas parce que son conjoint s'occupe concrètement de tout que les empêchements existants doivent être</w:t>
      </w:r>
    </w:p>
    <w:p>
      <w:r>
        <w:t>Tribunal cantonal TC Page 9 de 11 totalement écartés. L'ORD, qui est au demeurant une obligation de l'assuré et non du tiers, doit être évaluée de façon objective, par rapport à ce que ferait une cellule familiale raisonnable, dans la même situation. A titre comparatif, la jurisprudence en matière d'allocation pour impotent indique précisément que, sauf à vouloir vider l'institution de l'allocation pour impotent de tout son sens dans le cas où l'assuré fait ménage commun avec son conjoint ou un membre de la famille, on ne saurait exiger de cette personne qu'elle assume toutes les tâches ménagères de l'assuré après la survenance de l'impotence si cela ne correspondait pas déjà à la situation antérieure (cf. arrêts TF 9C_560/2023 du 8 novembre 2023 consid. 6.3.4; 9C_567/2019 du 23 décembre 2019 consid. 6.2; 9C_330/2017 du 14 décembre 2017 consid. 4). Compte tenu de ces divers éléments, la Cour de céans constate que l'aide du conjoint prise en considération par l'enquêtrice et l'autorité intimée est disproportionnée dans le cas d'espèce. A cet égard, on peut souligner que, dans les arrêts cités par les parties, la situation était différente. Ainsi, dans l'affaire qui a donné lieu à l'arrêt TF 9C_525/2023 du 26 octobre 2023 qui traite également de l'aide exigible du conjoint à la retraite, les limitations de l'assurée étaient beaucoup moins grandes, de sorte que l'empêchement sans ORD était fixé à 22% et, qu'en tenant compte de l'ORD, il était réduit à 6%. En outre, dans la cause traitée par l'arrêt TF 8C_828/2011 du 27 juillet 2012, l'ORD tenait compte non seulement de l'aide exigible du conjoint retraité, mais également de celle des deux fils adultes qui faisaient également partie du ménage. De plus, ces deux arrêts reconnaissent que, dans une situation où aucun des partenaires n'exerce d'activité lucrative, il est admissible, au nom de l'égalité juridique et effective entre hommes et femmes, de supposer une répartition en principe égale des tâches nécessaires à la communauté et que cela vaut d'autant plus lorsqu'un membre de la communauté de vie est malade. Ainsi, dans le cas particulier, pour tenir compte de l'ORD dans une mesure proportionnée, en ne perdant pas de vue que l’époux doit par ailleurs assumer de nombreuses contraintes quotidiennes liées à la maladie de la recourante, il est pertinent de tenir compte de la participation de celui-ci à raison de 50% des tâches pour chacun des postes évalués. Ainsi, les empêchements avec ORD peuvent être fixés ainsi: alimentation 16% (pondération 41%, empêchement de 39%, soit 78% d’empêchement dans la part de 50% des tâches qui ne peut pas être imputée au mari au titre de l'ORD), entretien de l'appartement 8,4% (pondération 24%, empêchement 35%, soit 70% d’empêchement dans la part de 50%), achats et courses diverses 5% (pondération 10%, empêchement 50%, soit 100% d’empêchement dans la part de 50%), lessives et entretiens vêtements 6,8% (pondération 15 %, empêchement 45%, soit 90% d’empêchement dans la part de 50%), soins du jardin 5% (pondération 10%, empêchement 50%, soit 100% d’empêchement dans la part de 50%), ce qui aboutit à un empêchement total de 41,2%. Le taux d'invalidité pour l'activité ménagère se monte dès lors à 20,6% (41,2% x 50%) et le taux d'invalidité total doit être fixé à 70,6% (50% + 20,6%), ce qui ouvre le droit à une rente entière. En application de l'art. 88bis al. 1 let. a RAI, l'augmentation de la rente prend effet dès le 1er juillet 2024, puisque la révision a été demandée par la recourante le 1er juillet 2024.</w:t>
      </w:r>
    </w:p>
    <w:p>
      <w:r>
        <w:rPr>
          <w:b/>
        </w:rPr>
        <w:t>E. 6.1</w:t>
      </w:r>
    </w:p>
    <w:p>
      <w:r>
        <w:t>Au vu de l'ensemble des considérants qui précèdent, le recours doit être admis et la décision querellée modifiée en ce sens que la recourante a droit à une rente entière d'invalidité dès le 1er juillet 2024.</w:t>
      </w:r>
    </w:p>
    <w:p>
      <w:r>
        <w:t>Tribunal cantonal TC Page 10 de 11</w:t>
      </w:r>
    </w:p>
    <w:p>
      <w:r>
        <w:rPr>
          <w:b/>
        </w:rPr>
        <w:t>E. 6.2</w:t>
      </w:r>
    </w:p>
    <w:p>
      <w:r>
        <w:t>La procédure n'étant pas gratuite (art. 69 al. 1bis LAI), les frais de procédure, par CH 800.-, sont mis à la charge de l'autorité intimée qui succombe. Partant, l'avance de frais du même montant versée par la recourante lui est intégralement restituée.</w:t>
      </w:r>
    </w:p>
    <w:p>
      <w:r>
        <w:rPr>
          <w:b/>
        </w:rPr>
        <w:t>E. 6.3</w:t>
      </w:r>
    </w:p>
    <w:p>
      <w:r>
        <w:t>Ayant obtenu gain de cause, la recourante a droit à des dépens. Compte tenu de la liste de frais déposée le 26 novembre 2025 par son mandataire, l'indemnité de partie à laquelle elle peut prétendre pour ses frais de défense est fixée à CHF 1'420.85, soit, comme demandé, 5 heures et 41 minutes indemnisées au tarif horaire de CHF 250.-, plus CHF 15.50 de débours et CHF 116.35 au titre de la TVA à 8,1% et soit à un total de CHF 1'552.70, et de la mettre intégralement à la charge de l'autorité intimée qui succombe. (dispositif en page suivante)</w:t>
      </w:r>
    </w:p>
    <w:p>
      <w:r>
        <w:t>Tribunal cantonal TC Page 11 de 11 la Cour arrête : I. Le recours est admis. Partant, la décision du 8 mai 2025 de l'Office de l'assurance-invalidité du canton de Fribourg est modifiée en ce sens que A.________ a droit une rente entière d'invalidité dès le 1er juillet 2024. II. Les frais de procédure, par CHF 800.-, sont mis à la charge de l'Office de l'assurance-invalidité du canton de Fribourg. III. L'avance de frais de CHF 800.- est intégralement restituée à A.________. IV. L'indemnité de partie allouée à A.________ pour ses frais de défense est fixée à CHF 1'420.85 d'honoraires, plus CHF 15.50 de débours et CHF 116.35 au titre de la TVA à 8,1 %, soit à un total de CHF 1'552.70, à verser en main de son mandataire, et mise intégralement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mars 2026/meg La Présidente suppléante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